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B7" w:rsidRPr="000214A3" w:rsidRDefault="00D660B7" w:rsidP="00D660B7">
      <w:pPr>
        <w:pStyle w:val="BodyText"/>
        <w:spacing w:line="240" w:lineRule="auto"/>
        <w:rPr>
          <w:rFonts w:ascii="Tahoma" w:hAnsi="Tahoma" w:cs="Tahoma"/>
          <w:b/>
          <w:szCs w:val="24"/>
          <w:u w:val="single"/>
        </w:rPr>
      </w:pP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r>
      <w:r w:rsidRPr="000214A3">
        <w:rPr>
          <w:rFonts w:ascii="Tahoma" w:hAnsi="Tahoma" w:cs="Tahoma"/>
          <w:szCs w:val="24"/>
        </w:rPr>
        <w:tab/>
        <w:t xml:space="preserve">     </w:t>
      </w:r>
    </w:p>
    <w:p w:rsidR="00D660B7" w:rsidRPr="000214A3" w:rsidRDefault="00D660B7" w:rsidP="00D660B7">
      <w:pPr>
        <w:pStyle w:val="BodyText"/>
        <w:spacing w:line="240" w:lineRule="auto"/>
        <w:rPr>
          <w:rFonts w:ascii="Tahoma" w:hAnsi="Tahoma" w:cs="Tahoma"/>
          <w:b/>
          <w:szCs w:val="24"/>
          <w:u w:val="single"/>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Na podlagi 19. člena Statuta Zveze združenj borcev za vrednote   narodnoosvobodilnega boja Slovenije (št. 011-1/08),  je Glavni odbor Zveze, na  svoji  1. seji dne 27.9.2011  sprejel   Poslovnik  Glavnega odbora Zveze združenj borcev za vrednote narodnoosvobodilnega boja Slovenije, ki se glasi:</w:t>
      </w: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Heading2"/>
        <w:spacing w:line="240" w:lineRule="auto"/>
        <w:rPr>
          <w:rFonts w:ascii="Tahoma" w:hAnsi="Tahoma" w:cs="Tahoma"/>
          <w:spacing w:val="104"/>
          <w:szCs w:val="24"/>
        </w:rPr>
      </w:pPr>
    </w:p>
    <w:p w:rsidR="00D660B7" w:rsidRPr="000214A3" w:rsidRDefault="00D660B7" w:rsidP="00D660B7">
      <w:pPr>
        <w:pStyle w:val="Heading2"/>
        <w:spacing w:line="240" w:lineRule="auto"/>
        <w:rPr>
          <w:rFonts w:ascii="Tahoma" w:hAnsi="Tahoma" w:cs="Tahoma"/>
          <w:spacing w:val="104"/>
          <w:sz w:val="28"/>
          <w:szCs w:val="28"/>
        </w:rPr>
      </w:pPr>
      <w:r w:rsidRPr="000214A3">
        <w:rPr>
          <w:rFonts w:ascii="Tahoma" w:hAnsi="Tahoma" w:cs="Tahoma"/>
          <w:spacing w:val="104"/>
          <w:sz w:val="28"/>
          <w:szCs w:val="28"/>
        </w:rPr>
        <w:t>POSLOVNIK</w:t>
      </w:r>
    </w:p>
    <w:p w:rsidR="00D660B7" w:rsidRPr="000214A3" w:rsidRDefault="00D660B7" w:rsidP="00D660B7">
      <w:pPr>
        <w:pStyle w:val="BodyText"/>
        <w:spacing w:line="240" w:lineRule="auto"/>
        <w:jc w:val="center"/>
        <w:rPr>
          <w:rFonts w:ascii="Tahoma" w:hAnsi="Tahoma" w:cs="Tahoma"/>
          <w:b/>
          <w:sz w:val="28"/>
          <w:szCs w:val="28"/>
        </w:rPr>
      </w:pPr>
      <w:r w:rsidRPr="000214A3">
        <w:rPr>
          <w:rFonts w:ascii="Tahoma" w:hAnsi="Tahoma" w:cs="Tahoma"/>
          <w:b/>
          <w:sz w:val="28"/>
          <w:szCs w:val="28"/>
        </w:rPr>
        <w:t xml:space="preserve">Glavnega odbora Zveze združenj borcev za vrednote </w:t>
      </w:r>
    </w:p>
    <w:p w:rsidR="00D660B7" w:rsidRPr="000214A3" w:rsidRDefault="00D660B7" w:rsidP="00D660B7">
      <w:pPr>
        <w:pStyle w:val="BodyText"/>
        <w:spacing w:line="240" w:lineRule="auto"/>
        <w:jc w:val="center"/>
        <w:rPr>
          <w:rFonts w:ascii="Tahoma" w:hAnsi="Tahoma" w:cs="Tahoma"/>
          <w:b/>
          <w:sz w:val="28"/>
          <w:szCs w:val="28"/>
        </w:rPr>
      </w:pPr>
      <w:r w:rsidRPr="000214A3">
        <w:rPr>
          <w:rFonts w:ascii="Tahoma" w:hAnsi="Tahoma" w:cs="Tahoma"/>
          <w:b/>
          <w:sz w:val="28"/>
          <w:szCs w:val="28"/>
        </w:rPr>
        <w:t xml:space="preserve">narodnoosvobodilnega boja Slovenije </w:t>
      </w: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1.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V tem poslovniku je v skladu z določbami statuta Zveze združenj borcev za vrednote narodnoosvobodilnega boja Slovenije (v nadaljevanju: statut) določen način delovanja ter pravice in dolžnosti članov Glavnega odbora Zveze združenj borcev za vrednote narodnoosvobodilnega boja (v nadaljevanju: glavni odbor).</w:t>
      </w:r>
    </w:p>
    <w:p w:rsidR="00D660B7" w:rsidRPr="000214A3" w:rsidRDefault="00D660B7" w:rsidP="00D660B7">
      <w:pPr>
        <w:spacing w:line="240" w:lineRule="auto"/>
        <w:jc w:val="center"/>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2.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Glavni odbor kot najvišji predstavniški organ Zveze združenj borcev za vrednote narodnoosvobodilnega boja Slovenije (v nadaljevanju: zveza) uresničuje naloge določene v 20. členu statuta ter deluje v skladu s Programskimi temelji in usmeritvami za delovanje ZZB NOB Slovenije.</w:t>
      </w: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3.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Glavni odbor deluje kot zbor članov in je najvišji predstavniški organ zveze. Sestavljajo ga pooblaščeni predstavniki članov zveze (v nadaljevanju: pooblaščeni predstavniki).</w:t>
      </w:r>
    </w:p>
    <w:p w:rsidR="00D660B7" w:rsidRPr="000214A3" w:rsidRDefault="00D660B7" w:rsidP="00D660B7">
      <w:pPr>
        <w:spacing w:line="240" w:lineRule="auto"/>
        <w:jc w:val="both"/>
        <w:rPr>
          <w:rFonts w:ascii="Tahoma" w:hAnsi="Tahoma" w:cs="Tahoma"/>
          <w:color w:val="FF0000"/>
          <w:sz w:val="24"/>
          <w:szCs w:val="24"/>
        </w:rPr>
      </w:pPr>
      <w:r w:rsidRPr="000214A3">
        <w:rPr>
          <w:rFonts w:ascii="Tahoma" w:hAnsi="Tahoma" w:cs="Tahoma"/>
          <w:sz w:val="24"/>
          <w:szCs w:val="24"/>
        </w:rPr>
        <w:t>Pravice in dolžnosti člana glavnega odbora, razen pravice glasovanja o poročilu o delovanju organov zveze in o volitvah teh organov, imajo tudi predsednik in podpredsedniki zveze, člani predsedstva ter predstavniki pokrajinskih koordinacij, to je pokrajinskih svetov ZB.</w:t>
      </w:r>
    </w:p>
    <w:p w:rsidR="00D660B7" w:rsidRPr="000214A3" w:rsidRDefault="00D660B7" w:rsidP="00D660B7">
      <w:pPr>
        <w:spacing w:line="240" w:lineRule="auto"/>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4. člen</w:t>
      </w:r>
    </w:p>
    <w:p w:rsidR="00D660B7" w:rsidRPr="000214A3" w:rsidRDefault="00D660B7" w:rsidP="00D660B7">
      <w:pPr>
        <w:spacing w:line="240" w:lineRule="auto"/>
        <w:rPr>
          <w:rFonts w:ascii="Tahoma" w:hAnsi="Tahoma" w:cs="Tahoma"/>
          <w:sz w:val="24"/>
          <w:szCs w:val="24"/>
        </w:rPr>
      </w:pPr>
      <w:r w:rsidRPr="000214A3">
        <w:rPr>
          <w:rFonts w:ascii="Tahoma" w:hAnsi="Tahoma" w:cs="Tahoma"/>
          <w:sz w:val="24"/>
          <w:szCs w:val="24"/>
        </w:rPr>
        <w:t>Na seje glavnega odbora se, glede na dnevni red, lahko vabi tudi predstavnike državnih, pokrajinskih in lokalnih organov, predstavnike sorodnih veteranskih in drugih  organizacij, zveze društev, znanstvenih, raziskovalnih in drugih organizacij ter predstavnike sredstev javnega obveščanja.</w:t>
      </w:r>
    </w:p>
    <w:p w:rsidR="00D660B7" w:rsidRPr="000214A3" w:rsidRDefault="00D660B7" w:rsidP="00D660B7">
      <w:pPr>
        <w:spacing w:line="240" w:lineRule="auto"/>
        <w:rPr>
          <w:rFonts w:ascii="Tahoma" w:hAnsi="Tahoma" w:cs="Tahoma"/>
          <w:sz w:val="24"/>
          <w:szCs w:val="24"/>
        </w:rPr>
      </w:pPr>
      <w:r w:rsidRPr="000214A3">
        <w:rPr>
          <w:rFonts w:ascii="Tahoma" w:hAnsi="Tahoma" w:cs="Tahoma"/>
          <w:sz w:val="24"/>
          <w:szCs w:val="24"/>
        </w:rPr>
        <w:t>Vabljeni predstavniki lahko na sejah glavnega odbora razpravljajo, nimajo pa glasovalne pravice.</w:t>
      </w:r>
    </w:p>
    <w:p w:rsidR="00D660B7" w:rsidRPr="000214A3" w:rsidRDefault="00D660B7" w:rsidP="00D660B7">
      <w:pPr>
        <w:spacing w:line="240" w:lineRule="auto"/>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5.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 xml:space="preserve">Seje glavnega odbora sklicuje predsednik zveze, v njegovi odsotnosti pa pooblaščeni podpredsednik. </w:t>
      </w:r>
    </w:p>
    <w:p w:rsidR="00D660B7" w:rsidRDefault="00D660B7" w:rsidP="00D660B7">
      <w:pPr>
        <w:spacing w:line="240" w:lineRule="auto"/>
        <w:jc w:val="both"/>
        <w:rPr>
          <w:rFonts w:ascii="Tahoma" w:hAnsi="Tahoma" w:cs="Tahoma"/>
          <w:sz w:val="24"/>
          <w:szCs w:val="24"/>
        </w:rPr>
      </w:pPr>
    </w:p>
    <w:p w:rsidR="00D660B7" w:rsidRDefault="00D660B7" w:rsidP="00D660B7">
      <w:pPr>
        <w:spacing w:line="240" w:lineRule="auto"/>
        <w:jc w:val="both"/>
        <w:rPr>
          <w:rFonts w:ascii="Tahoma" w:hAnsi="Tahoma" w:cs="Tahoma"/>
          <w:sz w:val="24"/>
          <w:szCs w:val="24"/>
        </w:rPr>
      </w:pPr>
    </w:p>
    <w:p w:rsidR="00D660B7" w:rsidRDefault="00D660B7" w:rsidP="00D660B7">
      <w:pPr>
        <w:spacing w:line="240" w:lineRule="auto"/>
        <w:jc w:val="both"/>
        <w:rPr>
          <w:rFonts w:ascii="Tahoma" w:hAnsi="Tahoma" w:cs="Tahoma"/>
          <w:sz w:val="24"/>
          <w:szCs w:val="24"/>
        </w:rPr>
      </w:pPr>
    </w:p>
    <w:p w:rsidR="00D660B7" w:rsidRPr="000214A3" w:rsidRDefault="00D660B7" w:rsidP="00D660B7">
      <w:pPr>
        <w:spacing w:line="240" w:lineRule="auto"/>
        <w:jc w:val="both"/>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lastRenderedPageBreak/>
        <w:t>6.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Vabilo na sejo glavnega odbora s predlogom dnevnega reda in ustreznimi gradivi, se pošlje praviloma najmanj 15 dni pred dnem, ki je določen za sejo. Za pripravo gradiva poskrbi generalni sekretar, predloge gradiv pa določi predsedstvo.</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Izjemoma se lahko pošlje posamezno gradivo tudi kasneje.</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 xml:space="preserve">V nujnih primerih se lahko sejo skliče tudi v krajšem roku. </w:t>
      </w:r>
    </w:p>
    <w:p w:rsidR="00D660B7" w:rsidRPr="000214A3" w:rsidRDefault="00D660B7" w:rsidP="00D660B7">
      <w:pPr>
        <w:spacing w:line="240" w:lineRule="auto"/>
        <w:jc w:val="both"/>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7.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 xml:space="preserve">Glavni odbor deluje po načelu javnosti in  demokratičnosti. </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 xml:space="preserve">Glavni odbor se sestaja po potrebi, vendar najmanj dvakrat letno. </w:t>
      </w: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jc w:val="center"/>
        <w:rPr>
          <w:rFonts w:ascii="Tahoma" w:hAnsi="Tahoma" w:cs="Tahoma"/>
          <w:szCs w:val="24"/>
        </w:rPr>
      </w:pPr>
      <w:r w:rsidRPr="000214A3">
        <w:rPr>
          <w:rFonts w:ascii="Tahoma" w:hAnsi="Tahoma" w:cs="Tahoma"/>
          <w:szCs w:val="24"/>
        </w:rPr>
        <w:t>8.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Sejo glavnega odbora vodi predsednik zveze, ki za ta namen predlaga v izvolitev delovno predsedstvo,  zapisnikarja, dva overitelja zapisnika, odvisno od dnevnega reda pa lahko tudi skupino za redakcijo dokumentov in druge potrebne skupine.</w:t>
      </w:r>
    </w:p>
    <w:p w:rsidR="00D660B7" w:rsidRPr="000214A3" w:rsidRDefault="00D660B7" w:rsidP="00D660B7">
      <w:pPr>
        <w:spacing w:line="240" w:lineRule="auto"/>
        <w:jc w:val="both"/>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9.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Delovno predsedstvo ima predsednika in dva člana.</w:t>
      </w:r>
    </w:p>
    <w:p w:rsidR="00D660B7" w:rsidRPr="000214A3" w:rsidRDefault="00D660B7" w:rsidP="00D660B7">
      <w:pPr>
        <w:spacing w:line="240" w:lineRule="auto"/>
        <w:jc w:val="both"/>
        <w:rPr>
          <w:rFonts w:ascii="Tahoma" w:hAnsi="Tahoma" w:cs="Tahoma"/>
          <w:i/>
          <w:sz w:val="24"/>
          <w:szCs w:val="24"/>
        </w:rPr>
      </w:pPr>
      <w:r w:rsidRPr="000214A3">
        <w:rPr>
          <w:rFonts w:ascii="Tahoma" w:hAnsi="Tahoma" w:cs="Tahoma"/>
          <w:sz w:val="24"/>
          <w:szCs w:val="24"/>
        </w:rPr>
        <w:t>Delo glavnega odbora vodi v nadaljevanju predsednik delovnega predsedstva.</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Po ugotovitvi sklepčnosti, predlaga določitev dnevnega reda.</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Pooblaščeni predstavniki članov zveze lahko predlagajo dopolnitev dnevnega reda z ustrezno obrazložitvijo.</w:t>
      </w:r>
    </w:p>
    <w:p w:rsidR="00D660B7" w:rsidRPr="000214A3" w:rsidRDefault="00D660B7" w:rsidP="00D660B7">
      <w:pPr>
        <w:spacing w:line="240" w:lineRule="auto"/>
        <w:jc w:val="center"/>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10.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Glavni odbor obravnava posamezne zadeve po vrsti kot so  določene v dnevnem redu. Obrazložitve lahko zadevajo več točk dnevnega reda skupaj, prav tako pa je lahko združena tudi razprava.</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V razpravi lahko sodelujejo vsi, ki so prisotni in sicer po vrstnem redu, kot so se priglasili k razpravi.</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Svoj prispevek lahko član glavnega odbora predloži v pisni obliki.</w:t>
      </w:r>
    </w:p>
    <w:p w:rsidR="00D660B7" w:rsidRPr="000214A3" w:rsidRDefault="00D660B7" w:rsidP="00D660B7">
      <w:pPr>
        <w:spacing w:line="240" w:lineRule="auto"/>
        <w:jc w:val="both"/>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11.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 xml:space="preserve">Delo glavnega odbora se praviloma snema. </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O vsakokratnem zasedanju se napiše zapisnik, ki ga podpišejo predsednik Zveze, zapisnikar in overitelja zapisnika.</w:t>
      </w:r>
    </w:p>
    <w:p w:rsidR="00D660B7" w:rsidRPr="000214A3" w:rsidRDefault="00D660B7" w:rsidP="00D660B7">
      <w:pPr>
        <w:spacing w:line="240" w:lineRule="auto"/>
        <w:jc w:val="center"/>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12.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Vsak član glavnega odbora in drugi prisotni na seji imajo pravico sodelovati v razpravi pri vseh točkah dnevnega reda.</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Če se prijavljeni za razpravo oddaljuje od vprašanj, ki so na dnevnem redu, ga je predsednik delovnega predsedstva dolžan opozoriti.</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 xml:space="preserve">Glede na obsežnost razprave se razpravo lahko omeji.  </w:t>
      </w:r>
    </w:p>
    <w:p w:rsidR="00D660B7" w:rsidRPr="000214A3" w:rsidRDefault="00D660B7" w:rsidP="00D660B7">
      <w:pPr>
        <w:spacing w:line="240" w:lineRule="auto"/>
        <w:jc w:val="both"/>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13.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Na podlagi gradiva, mnenj in predlogov iz razprave, sprejme glavni odbor svoja stališča, sklepe in druge odločitve.</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Sklepi in povzetek drugih gradiv seje glavnega odbora se objavijo na spletni strani ZZB NOB Slovenije in v Sporočilih ali v posebni publikaciji.</w:t>
      </w: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lastRenderedPageBreak/>
        <w:t>14.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Glavni odbor veljavno sklepa, če je prisotnih več kot polovica pooblaščenih predstavnikov članov zveze.</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Sklepi, stališča in druge odločitve so veljavne, če zanje glasuje večina navzočih članov glavnega odbora.</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Za odločanje o statutu in o volitvah organov zveze, mora za veljavnost odločitve glasovati najmanj polovica vseh pooblaščenih predstavnikov članov zveze.</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Glasovanje je javno z dvigom rok, razen če v posameznem primeru Glavni odbor ne sklene drugače.</w:t>
      </w:r>
    </w:p>
    <w:p w:rsidR="00D660B7" w:rsidRPr="000214A3" w:rsidRDefault="00D660B7" w:rsidP="00D660B7">
      <w:pPr>
        <w:spacing w:line="240" w:lineRule="auto"/>
        <w:jc w:val="both"/>
        <w:rPr>
          <w:rFonts w:ascii="Tahoma" w:hAnsi="Tahoma" w:cs="Tahoma"/>
          <w:sz w:val="24"/>
          <w:szCs w:val="24"/>
        </w:rPr>
      </w:pPr>
    </w:p>
    <w:p w:rsidR="00D660B7" w:rsidRPr="000214A3" w:rsidRDefault="00D660B7" w:rsidP="00D660B7">
      <w:pPr>
        <w:spacing w:line="240" w:lineRule="auto"/>
        <w:jc w:val="center"/>
        <w:rPr>
          <w:rFonts w:ascii="Tahoma" w:hAnsi="Tahoma" w:cs="Tahoma"/>
          <w:sz w:val="24"/>
          <w:szCs w:val="24"/>
        </w:rPr>
      </w:pPr>
      <w:r w:rsidRPr="000214A3">
        <w:rPr>
          <w:rFonts w:ascii="Tahoma" w:hAnsi="Tahoma" w:cs="Tahoma"/>
          <w:sz w:val="24"/>
          <w:szCs w:val="24"/>
        </w:rPr>
        <w:t>15. člen</w:t>
      </w:r>
    </w:p>
    <w:p w:rsidR="00D660B7" w:rsidRPr="000214A3" w:rsidRDefault="00D660B7" w:rsidP="00D660B7">
      <w:pPr>
        <w:spacing w:line="240" w:lineRule="auto"/>
        <w:jc w:val="both"/>
        <w:rPr>
          <w:rFonts w:ascii="Tahoma" w:hAnsi="Tahoma" w:cs="Tahoma"/>
          <w:sz w:val="24"/>
          <w:szCs w:val="24"/>
        </w:rPr>
      </w:pPr>
      <w:r w:rsidRPr="000214A3">
        <w:rPr>
          <w:rFonts w:ascii="Tahoma" w:hAnsi="Tahoma" w:cs="Tahoma"/>
          <w:sz w:val="24"/>
          <w:szCs w:val="24"/>
        </w:rPr>
        <w:t>V nujnih primerih lahko Glavni odbor odloči o posamezni zadevi tudi na korespondenčni seji z glasovnico, na podlagi pisnega predloga predsedstva Zveze.</w:t>
      </w:r>
    </w:p>
    <w:p w:rsidR="00D660B7" w:rsidRPr="000214A3" w:rsidRDefault="00D660B7" w:rsidP="00D660B7">
      <w:pPr>
        <w:spacing w:line="240" w:lineRule="auto"/>
        <w:jc w:val="center"/>
        <w:rPr>
          <w:rFonts w:ascii="Tahoma" w:hAnsi="Tahoma" w:cs="Tahoma"/>
          <w:sz w:val="24"/>
          <w:szCs w:val="24"/>
        </w:rPr>
      </w:pPr>
    </w:p>
    <w:p w:rsidR="00D660B7" w:rsidRPr="000214A3" w:rsidRDefault="00D660B7" w:rsidP="00D660B7">
      <w:pPr>
        <w:pStyle w:val="BodyText"/>
        <w:spacing w:line="240" w:lineRule="auto"/>
        <w:jc w:val="center"/>
        <w:rPr>
          <w:rFonts w:ascii="Tahoma" w:hAnsi="Tahoma" w:cs="Tahoma"/>
          <w:szCs w:val="24"/>
        </w:rPr>
      </w:pPr>
      <w:r w:rsidRPr="000214A3">
        <w:rPr>
          <w:rFonts w:ascii="Tahoma" w:hAnsi="Tahoma" w:cs="Tahoma"/>
          <w:szCs w:val="24"/>
        </w:rPr>
        <w:t>16.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Član glavnega odbora ima dolžnost in pravico:</w:t>
      </w:r>
    </w:p>
    <w:p w:rsidR="00D660B7" w:rsidRPr="000214A3" w:rsidRDefault="00D660B7" w:rsidP="00D660B7">
      <w:pPr>
        <w:pStyle w:val="BodyText"/>
        <w:numPr>
          <w:ilvl w:val="0"/>
          <w:numId w:val="1"/>
        </w:numPr>
        <w:tabs>
          <w:tab w:val="left" w:pos="0"/>
        </w:tabs>
        <w:spacing w:line="240" w:lineRule="auto"/>
        <w:rPr>
          <w:rFonts w:ascii="Tahoma" w:hAnsi="Tahoma" w:cs="Tahoma"/>
          <w:szCs w:val="24"/>
        </w:rPr>
      </w:pPr>
      <w:r w:rsidRPr="000214A3">
        <w:rPr>
          <w:rFonts w:ascii="Tahoma" w:hAnsi="Tahoma" w:cs="Tahoma"/>
          <w:szCs w:val="24"/>
        </w:rPr>
        <w:t>da prisostvuje sejam in aktivno sodeluje pri delu glavnega odbora,</w:t>
      </w:r>
    </w:p>
    <w:p w:rsidR="00D660B7" w:rsidRPr="000214A3" w:rsidRDefault="00D660B7" w:rsidP="00D660B7">
      <w:pPr>
        <w:pStyle w:val="BodyText"/>
        <w:numPr>
          <w:ilvl w:val="0"/>
          <w:numId w:val="1"/>
        </w:numPr>
        <w:tabs>
          <w:tab w:val="left" w:pos="0"/>
        </w:tabs>
        <w:spacing w:line="240" w:lineRule="auto"/>
        <w:rPr>
          <w:rFonts w:ascii="Tahoma" w:hAnsi="Tahoma" w:cs="Tahoma"/>
          <w:szCs w:val="24"/>
        </w:rPr>
      </w:pPr>
      <w:r w:rsidRPr="000214A3">
        <w:rPr>
          <w:rFonts w:ascii="Tahoma" w:hAnsi="Tahoma" w:cs="Tahoma"/>
          <w:szCs w:val="24"/>
        </w:rPr>
        <w:t>da na sejah sodeluje v razpravi, predlaga ukrepe in sklepa o vprašanjih, ki so na dnevnem redu,</w:t>
      </w:r>
    </w:p>
    <w:p w:rsidR="00D660B7" w:rsidRPr="000214A3" w:rsidRDefault="00D660B7" w:rsidP="00D660B7">
      <w:pPr>
        <w:pStyle w:val="BodyText"/>
        <w:numPr>
          <w:ilvl w:val="0"/>
          <w:numId w:val="1"/>
        </w:numPr>
        <w:tabs>
          <w:tab w:val="left" w:pos="0"/>
        </w:tabs>
        <w:spacing w:line="240" w:lineRule="auto"/>
        <w:rPr>
          <w:rFonts w:ascii="Tahoma" w:hAnsi="Tahoma" w:cs="Tahoma"/>
          <w:szCs w:val="24"/>
        </w:rPr>
      </w:pPr>
      <w:r w:rsidRPr="000214A3">
        <w:rPr>
          <w:rFonts w:ascii="Tahoma" w:hAnsi="Tahoma" w:cs="Tahoma"/>
          <w:szCs w:val="24"/>
        </w:rPr>
        <w:t>da deluje v skladu s statutom, programskimi temelji in usmeritvami za delovanje ZZB NOB Slovenije in sprejetimi stališči ter sklepi glavnega odbora,</w:t>
      </w:r>
    </w:p>
    <w:p w:rsidR="00D660B7" w:rsidRPr="000214A3" w:rsidRDefault="00D660B7" w:rsidP="00D660B7">
      <w:pPr>
        <w:pStyle w:val="BodyText"/>
        <w:numPr>
          <w:ilvl w:val="0"/>
          <w:numId w:val="1"/>
        </w:numPr>
        <w:tabs>
          <w:tab w:val="left" w:pos="0"/>
        </w:tabs>
        <w:spacing w:line="240" w:lineRule="auto"/>
        <w:rPr>
          <w:rFonts w:ascii="Tahoma" w:hAnsi="Tahoma" w:cs="Tahoma"/>
          <w:szCs w:val="24"/>
        </w:rPr>
      </w:pPr>
      <w:r w:rsidRPr="000214A3">
        <w:rPr>
          <w:rFonts w:ascii="Tahoma" w:hAnsi="Tahoma" w:cs="Tahoma"/>
          <w:szCs w:val="24"/>
        </w:rPr>
        <w:t>da opraviči izostanek s seje glavnega odbora,</w:t>
      </w:r>
    </w:p>
    <w:p w:rsidR="00D660B7" w:rsidRPr="000214A3" w:rsidRDefault="00D660B7" w:rsidP="00D660B7">
      <w:pPr>
        <w:pStyle w:val="BodyText"/>
        <w:numPr>
          <w:ilvl w:val="0"/>
          <w:numId w:val="1"/>
        </w:numPr>
        <w:tabs>
          <w:tab w:val="left" w:pos="0"/>
        </w:tabs>
        <w:spacing w:line="240" w:lineRule="auto"/>
        <w:rPr>
          <w:rFonts w:ascii="Tahoma" w:hAnsi="Tahoma" w:cs="Tahoma"/>
          <w:szCs w:val="24"/>
        </w:rPr>
      </w:pPr>
      <w:r w:rsidRPr="000214A3">
        <w:rPr>
          <w:rFonts w:ascii="Tahoma" w:hAnsi="Tahoma" w:cs="Tahoma"/>
          <w:szCs w:val="24"/>
        </w:rPr>
        <w:t>da o sprejetih stališčih in dokumentih poroča članom zveze, ki so ga imenovali za pooblaščenega predstavnika.</w:t>
      </w:r>
    </w:p>
    <w:p w:rsidR="00D660B7" w:rsidRPr="000214A3" w:rsidRDefault="00D660B7" w:rsidP="00D660B7">
      <w:pPr>
        <w:pStyle w:val="BodyText"/>
        <w:spacing w:line="240" w:lineRule="auto"/>
        <w:jc w:val="center"/>
        <w:rPr>
          <w:rFonts w:ascii="Tahoma" w:hAnsi="Tahoma" w:cs="Tahoma"/>
          <w:szCs w:val="24"/>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jc w:val="center"/>
        <w:rPr>
          <w:rFonts w:ascii="Tahoma" w:hAnsi="Tahoma" w:cs="Tahoma"/>
          <w:szCs w:val="24"/>
        </w:rPr>
      </w:pPr>
      <w:r w:rsidRPr="000214A3">
        <w:rPr>
          <w:rFonts w:ascii="Tahoma" w:hAnsi="Tahoma" w:cs="Tahoma"/>
          <w:szCs w:val="24"/>
        </w:rPr>
        <w:t>17.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Če član glavnega odbora odstopi ali mu sicer preneha mandat pred potekom mandatnega obdobja, za katerega je bil izvoljen, je član zveze, katerega pooblaščeni predstavnik je bil, pristojen za imenovanje drugega pooblaščenega predstavnika. V tem primeru traja njegov mandat do poteka mandata Glavnega odbora zveze.</w:t>
      </w:r>
    </w:p>
    <w:p w:rsidR="00D660B7" w:rsidRPr="000214A3" w:rsidRDefault="00D660B7" w:rsidP="00D660B7">
      <w:pPr>
        <w:pStyle w:val="BodyText"/>
        <w:spacing w:line="240" w:lineRule="auto"/>
        <w:rPr>
          <w:rFonts w:ascii="Tahoma" w:hAnsi="Tahoma" w:cs="Tahoma"/>
          <w:color w:val="FF0000"/>
          <w:szCs w:val="24"/>
        </w:rPr>
      </w:pPr>
      <w:r w:rsidRPr="000214A3">
        <w:rPr>
          <w:rFonts w:ascii="Tahoma" w:hAnsi="Tahoma" w:cs="Tahoma"/>
          <w:szCs w:val="24"/>
        </w:rPr>
        <w:t>Glavni odbor na seji verificira mandate svojih članov.</w:t>
      </w: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jc w:val="center"/>
        <w:rPr>
          <w:rFonts w:ascii="Tahoma" w:hAnsi="Tahoma" w:cs="Tahoma"/>
          <w:szCs w:val="24"/>
        </w:rPr>
      </w:pPr>
    </w:p>
    <w:p w:rsidR="00D660B7" w:rsidRPr="000214A3" w:rsidRDefault="00D660B7" w:rsidP="00D660B7">
      <w:pPr>
        <w:pStyle w:val="BodyText"/>
        <w:spacing w:line="240" w:lineRule="auto"/>
        <w:jc w:val="center"/>
        <w:rPr>
          <w:rFonts w:ascii="Tahoma" w:hAnsi="Tahoma" w:cs="Tahoma"/>
          <w:szCs w:val="24"/>
        </w:rPr>
      </w:pPr>
      <w:r w:rsidRPr="000214A3">
        <w:rPr>
          <w:rFonts w:ascii="Tahoma" w:hAnsi="Tahoma" w:cs="Tahoma"/>
          <w:szCs w:val="24"/>
        </w:rPr>
        <w:t>18. člen</w:t>
      </w: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 xml:space="preserve">Poslovnik začne veljati z dnem 27.9.2011. </w:t>
      </w:r>
      <w:r w:rsidRPr="000214A3">
        <w:rPr>
          <w:rFonts w:ascii="Tahoma" w:hAnsi="Tahoma" w:cs="Tahoma"/>
          <w:szCs w:val="24"/>
        </w:rPr>
        <w:tab/>
      </w: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b/>
          <w:szCs w:val="24"/>
        </w:rPr>
      </w:pPr>
    </w:p>
    <w:tbl>
      <w:tblPr>
        <w:tblW w:w="0" w:type="auto"/>
        <w:tblLayout w:type="fixed"/>
        <w:tblCellMar>
          <w:left w:w="70" w:type="dxa"/>
          <w:right w:w="70" w:type="dxa"/>
        </w:tblCellMar>
        <w:tblLook w:val="0000" w:firstRow="0" w:lastRow="0" w:firstColumn="0" w:lastColumn="0" w:noHBand="0" w:noVBand="0"/>
      </w:tblPr>
      <w:tblGrid>
        <w:gridCol w:w="3331"/>
        <w:gridCol w:w="5881"/>
      </w:tblGrid>
      <w:tr w:rsidR="00D660B7" w:rsidRPr="000214A3" w:rsidTr="00700770">
        <w:tblPrEx>
          <w:tblCellMar>
            <w:top w:w="0" w:type="dxa"/>
            <w:bottom w:w="0" w:type="dxa"/>
          </w:tblCellMar>
        </w:tblPrEx>
        <w:tc>
          <w:tcPr>
            <w:tcW w:w="3331" w:type="dxa"/>
          </w:tcPr>
          <w:p w:rsidR="00D660B7" w:rsidRPr="000214A3" w:rsidRDefault="00D660B7" w:rsidP="00700770">
            <w:pPr>
              <w:spacing w:line="240" w:lineRule="auto"/>
              <w:jc w:val="both"/>
              <w:rPr>
                <w:rFonts w:ascii="Tahoma" w:hAnsi="Tahoma" w:cs="Tahoma"/>
                <w:b/>
                <w:sz w:val="24"/>
                <w:szCs w:val="24"/>
              </w:rPr>
            </w:pPr>
          </w:p>
        </w:tc>
        <w:tc>
          <w:tcPr>
            <w:tcW w:w="5881" w:type="dxa"/>
          </w:tcPr>
          <w:p w:rsidR="00D660B7" w:rsidRPr="000214A3" w:rsidRDefault="00D660B7" w:rsidP="00700770">
            <w:pPr>
              <w:spacing w:line="240" w:lineRule="auto"/>
              <w:rPr>
                <w:rFonts w:ascii="Tahoma" w:hAnsi="Tahoma" w:cs="Tahoma"/>
                <w:b/>
                <w:sz w:val="24"/>
                <w:szCs w:val="24"/>
              </w:rPr>
            </w:pPr>
            <w:r>
              <w:rPr>
                <w:rFonts w:ascii="Tahoma" w:hAnsi="Tahoma" w:cs="Tahoma"/>
                <w:b/>
                <w:sz w:val="24"/>
                <w:szCs w:val="24"/>
              </w:rPr>
              <w:t xml:space="preserve">                             </w:t>
            </w:r>
            <w:r w:rsidRPr="000214A3">
              <w:rPr>
                <w:rFonts w:ascii="Tahoma" w:hAnsi="Tahoma" w:cs="Tahoma"/>
                <w:b/>
                <w:sz w:val="24"/>
                <w:szCs w:val="24"/>
              </w:rPr>
              <w:t xml:space="preserve">PREDSEDNIK </w:t>
            </w:r>
          </w:p>
          <w:p w:rsidR="00D660B7" w:rsidRPr="000214A3" w:rsidRDefault="00D660B7" w:rsidP="00700770">
            <w:pPr>
              <w:spacing w:line="240" w:lineRule="auto"/>
              <w:jc w:val="center"/>
              <w:rPr>
                <w:rFonts w:ascii="Tahoma" w:hAnsi="Tahoma" w:cs="Tahoma"/>
                <w:b/>
                <w:sz w:val="24"/>
                <w:szCs w:val="24"/>
              </w:rPr>
            </w:pPr>
            <w:r w:rsidRPr="000214A3">
              <w:rPr>
                <w:rFonts w:ascii="Tahoma" w:hAnsi="Tahoma" w:cs="Tahoma"/>
                <w:b/>
                <w:sz w:val="24"/>
                <w:szCs w:val="24"/>
              </w:rPr>
              <w:t>ZZB NOB SLOVENIJE</w:t>
            </w:r>
          </w:p>
          <w:p w:rsidR="00D660B7" w:rsidRPr="000214A3" w:rsidRDefault="00D660B7" w:rsidP="00700770">
            <w:pPr>
              <w:spacing w:line="240" w:lineRule="auto"/>
              <w:jc w:val="center"/>
              <w:rPr>
                <w:rFonts w:ascii="Tahoma" w:hAnsi="Tahoma" w:cs="Tahoma"/>
                <w:b/>
                <w:sz w:val="24"/>
                <w:szCs w:val="24"/>
              </w:rPr>
            </w:pPr>
            <w:r w:rsidRPr="000214A3">
              <w:rPr>
                <w:rFonts w:ascii="Tahoma" w:hAnsi="Tahoma" w:cs="Tahoma"/>
                <w:b/>
                <w:sz w:val="24"/>
                <w:szCs w:val="24"/>
              </w:rPr>
              <w:t>Janez  STANOVNIK</w:t>
            </w:r>
          </w:p>
        </w:tc>
      </w:tr>
    </w:tbl>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p>
    <w:p w:rsidR="00D660B7" w:rsidRPr="000214A3" w:rsidRDefault="00D660B7" w:rsidP="00D660B7">
      <w:pPr>
        <w:pStyle w:val="BodyText"/>
        <w:spacing w:line="240" w:lineRule="auto"/>
        <w:rPr>
          <w:rFonts w:ascii="Tahoma" w:hAnsi="Tahoma" w:cs="Tahoma"/>
          <w:szCs w:val="24"/>
        </w:rPr>
      </w:pPr>
      <w:r w:rsidRPr="000214A3">
        <w:rPr>
          <w:rFonts w:ascii="Tahoma" w:hAnsi="Tahoma" w:cs="Tahoma"/>
          <w:szCs w:val="24"/>
        </w:rPr>
        <w:t>Številka: 024-1/11</w:t>
      </w:r>
    </w:p>
    <w:p w:rsidR="00A52ED6" w:rsidRDefault="00D660B7">
      <w:bookmarkStart w:id="0" w:name="_GoBack"/>
      <w:bookmarkEnd w:id="0"/>
    </w:p>
    <w:sectPr w:rsidR="00A52ED6">
      <w:footerReference w:type="default" r:id="rId6"/>
      <w:pgSz w:w="11907" w:h="16840"/>
      <w:pgMar w:top="1247" w:right="1304" w:bottom="964" w:left="1304"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8E" w:rsidRDefault="00D660B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028E" w:rsidRDefault="00D660B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DE2CF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B7"/>
    <w:rsid w:val="003544F6"/>
    <w:rsid w:val="00D660B7"/>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B7"/>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sl-SI"/>
    </w:rPr>
  </w:style>
  <w:style w:type="paragraph" w:styleId="Heading2">
    <w:name w:val="heading 2"/>
    <w:basedOn w:val="Normal"/>
    <w:next w:val="Normal"/>
    <w:link w:val="Heading2Char"/>
    <w:qFormat/>
    <w:rsid w:val="00D660B7"/>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0B7"/>
    <w:rPr>
      <w:rFonts w:ascii="Arial" w:eastAsia="Times New Roman" w:hAnsi="Arial" w:cs="Times New Roman"/>
      <w:b/>
      <w:sz w:val="24"/>
      <w:szCs w:val="20"/>
      <w:lang w:eastAsia="sl-SI"/>
    </w:rPr>
  </w:style>
  <w:style w:type="paragraph" w:styleId="BodyText">
    <w:name w:val="Body Text"/>
    <w:basedOn w:val="Normal"/>
    <w:link w:val="BodyTextChar"/>
    <w:rsid w:val="00D660B7"/>
    <w:pPr>
      <w:jc w:val="both"/>
    </w:pPr>
    <w:rPr>
      <w:rFonts w:ascii="Arial" w:hAnsi="Arial"/>
      <w:sz w:val="24"/>
    </w:rPr>
  </w:style>
  <w:style w:type="character" w:customStyle="1" w:styleId="BodyTextChar">
    <w:name w:val="Body Text Char"/>
    <w:basedOn w:val="DefaultParagraphFont"/>
    <w:link w:val="BodyText"/>
    <w:rsid w:val="00D660B7"/>
    <w:rPr>
      <w:rFonts w:ascii="Arial" w:eastAsia="Times New Roman" w:hAnsi="Arial" w:cs="Times New Roman"/>
      <w:sz w:val="24"/>
      <w:szCs w:val="20"/>
      <w:lang w:eastAsia="sl-SI"/>
    </w:rPr>
  </w:style>
  <w:style w:type="paragraph" w:styleId="Footer">
    <w:name w:val="footer"/>
    <w:basedOn w:val="Normal"/>
    <w:link w:val="FooterChar"/>
    <w:rsid w:val="00D660B7"/>
    <w:pPr>
      <w:tabs>
        <w:tab w:val="center" w:pos="4536"/>
        <w:tab w:val="right" w:pos="9072"/>
      </w:tabs>
    </w:pPr>
    <w:rPr>
      <w:rFonts w:ascii="Arial" w:hAnsi="Arial"/>
      <w:sz w:val="24"/>
    </w:rPr>
  </w:style>
  <w:style w:type="character" w:customStyle="1" w:styleId="FooterChar">
    <w:name w:val="Footer Char"/>
    <w:basedOn w:val="DefaultParagraphFont"/>
    <w:link w:val="Footer"/>
    <w:rsid w:val="00D660B7"/>
    <w:rPr>
      <w:rFonts w:ascii="Arial" w:eastAsia="Times New Roman" w:hAnsi="Arial" w:cs="Times New Roman"/>
      <w:sz w:val="24"/>
      <w:szCs w:val="20"/>
      <w:lang w:eastAsia="sl-SI"/>
    </w:rPr>
  </w:style>
  <w:style w:type="character" w:styleId="PageNumber">
    <w:name w:val="page number"/>
    <w:basedOn w:val="DefaultParagraphFont"/>
    <w:rsid w:val="00D66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B7"/>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sl-SI"/>
    </w:rPr>
  </w:style>
  <w:style w:type="paragraph" w:styleId="Heading2">
    <w:name w:val="heading 2"/>
    <w:basedOn w:val="Normal"/>
    <w:next w:val="Normal"/>
    <w:link w:val="Heading2Char"/>
    <w:qFormat/>
    <w:rsid w:val="00D660B7"/>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0B7"/>
    <w:rPr>
      <w:rFonts w:ascii="Arial" w:eastAsia="Times New Roman" w:hAnsi="Arial" w:cs="Times New Roman"/>
      <w:b/>
      <w:sz w:val="24"/>
      <w:szCs w:val="20"/>
      <w:lang w:eastAsia="sl-SI"/>
    </w:rPr>
  </w:style>
  <w:style w:type="paragraph" w:styleId="BodyText">
    <w:name w:val="Body Text"/>
    <w:basedOn w:val="Normal"/>
    <w:link w:val="BodyTextChar"/>
    <w:rsid w:val="00D660B7"/>
    <w:pPr>
      <w:jc w:val="both"/>
    </w:pPr>
    <w:rPr>
      <w:rFonts w:ascii="Arial" w:hAnsi="Arial"/>
      <w:sz w:val="24"/>
    </w:rPr>
  </w:style>
  <w:style w:type="character" w:customStyle="1" w:styleId="BodyTextChar">
    <w:name w:val="Body Text Char"/>
    <w:basedOn w:val="DefaultParagraphFont"/>
    <w:link w:val="BodyText"/>
    <w:rsid w:val="00D660B7"/>
    <w:rPr>
      <w:rFonts w:ascii="Arial" w:eastAsia="Times New Roman" w:hAnsi="Arial" w:cs="Times New Roman"/>
      <w:sz w:val="24"/>
      <w:szCs w:val="20"/>
      <w:lang w:eastAsia="sl-SI"/>
    </w:rPr>
  </w:style>
  <w:style w:type="paragraph" w:styleId="Footer">
    <w:name w:val="footer"/>
    <w:basedOn w:val="Normal"/>
    <w:link w:val="FooterChar"/>
    <w:rsid w:val="00D660B7"/>
    <w:pPr>
      <w:tabs>
        <w:tab w:val="center" w:pos="4536"/>
        <w:tab w:val="right" w:pos="9072"/>
      </w:tabs>
    </w:pPr>
    <w:rPr>
      <w:rFonts w:ascii="Arial" w:hAnsi="Arial"/>
      <w:sz w:val="24"/>
    </w:rPr>
  </w:style>
  <w:style w:type="character" w:customStyle="1" w:styleId="FooterChar">
    <w:name w:val="Footer Char"/>
    <w:basedOn w:val="DefaultParagraphFont"/>
    <w:link w:val="Footer"/>
    <w:rsid w:val="00D660B7"/>
    <w:rPr>
      <w:rFonts w:ascii="Arial" w:eastAsia="Times New Roman" w:hAnsi="Arial" w:cs="Times New Roman"/>
      <w:sz w:val="24"/>
      <w:szCs w:val="20"/>
      <w:lang w:eastAsia="sl-SI"/>
    </w:rPr>
  </w:style>
  <w:style w:type="character" w:styleId="PageNumber">
    <w:name w:val="page number"/>
    <w:basedOn w:val="DefaultParagraphFont"/>
    <w:rsid w:val="00D66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2016-07-04T12:35:00Z</dcterms:created>
  <dcterms:modified xsi:type="dcterms:W3CDTF">2016-07-04T12:36:00Z</dcterms:modified>
</cp:coreProperties>
</file>